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36" w:rsidRPr="007A3876" w:rsidRDefault="007A38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3876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7A3876" w:rsidRDefault="007A3876" w:rsidP="007A3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76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dydaktyczna  „Rodzice i ich dzieci” -  Karty pracy, cz. 2, s. 30, 31.</w:t>
      </w:r>
    </w:p>
    <w:p w:rsidR="007A3876" w:rsidRPr="007A3876" w:rsidRDefault="007A3876" w:rsidP="007A3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876" w:rsidRPr="007A3876" w:rsidRDefault="007A3876" w:rsidP="007A3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76">
        <w:rPr>
          <w:rFonts w:ascii="Times New Roman" w:eastAsia="Times New Roman" w:hAnsi="Times New Roman" w:cs="Times New Roman"/>
          <w:sz w:val="24"/>
          <w:szCs w:val="24"/>
          <w:lang w:eastAsia="pl-PL"/>
        </w:rPr>
        <w:t>• Kończenie rysowania obrazka, kolorowanie go.</w:t>
      </w:r>
    </w:p>
    <w:p w:rsidR="007A3876" w:rsidRPr="007A3876" w:rsidRDefault="007A3876" w:rsidP="007A3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Rodzic każdorazowo wskazuje dorosłe zwierzę na karcie, dziecko je nazywa, odszukuje </w:t>
      </w:r>
    </w:p>
    <w:p w:rsidR="007A3876" w:rsidRPr="007A3876" w:rsidRDefault="007A3876" w:rsidP="007A3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76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naklejek obrazek młodego zwierzęcia (też je nazywa), dziecka wskazanego dorosłego osobnika, i nakleja go w pobliżu jego rodzica. Potem naśladuje ich głosy (dorosły osobnik ma głos mocniejszy, grubszy). Tak samo postępuje przy wszystkich zwierzętach z kart pracy.</w:t>
      </w:r>
    </w:p>
    <w:p w:rsidR="007A3876" w:rsidRPr="007A3876" w:rsidRDefault="007A3876" w:rsidP="007A3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A3876" w:rsidRPr="007A3876" w:rsidSect="0029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876"/>
    <w:rsid w:val="00293136"/>
    <w:rsid w:val="007A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2020-04-16T12:34:00Z</dcterms:created>
  <dcterms:modified xsi:type="dcterms:W3CDTF">2020-04-16T12:38:00Z</dcterms:modified>
</cp:coreProperties>
</file>